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3" w:rsidRDefault="00FF3093" w:rsidP="00FF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  <w:r>
        <w:rPr>
          <w:rFonts w:eastAsia="Times New Roman"/>
          <w:b/>
          <w:bCs/>
        </w:rPr>
        <w:t xml:space="preserve">           </w:t>
      </w:r>
      <w:r>
        <w:rPr>
          <w:rFonts w:eastAsia="Times New Roman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372696D0" wp14:editId="5E747131">
            <wp:extent cx="4857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133" r="-16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FF3093" w:rsidRPr="00404094" w:rsidRDefault="00FF3093" w:rsidP="00FF3093">
      <w:pPr>
        <w:rPr>
          <w:b/>
          <w:bCs/>
        </w:rPr>
      </w:pPr>
      <w:r>
        <w:rPr>
          <w:b/>
          <w:bCs/>
        </w:rPr>
        <w:t>REPUBLIKA HRVATSKA</w:t>
      </w:r>
    </w:p>
    <w:p w:rsidR="00FF3093" w:rsidRPr="00404094" w:rsidRDefault="00FF3093" w:rsidP="00FF3093">
      <w:r>
        <w:rPr>
          <w:b/>
          <w:bCs/>
        </w:rPr>
        <w:t>OSJEČKO-BARANJSKA ŽUPANIJA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OPĆINA MARIJANCI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JEDINSTVENI UPRAVNI ODJEL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pPr>
        <w:rPr>
          <w:bCs/>
        </w:rPr>
      </w:pPr>
      <w:r w:rsidRPr="00404094">
        <w:rPr>
          <w:bCs/>
        </w:rPr>
        <w:t xml:space="preserve">Klasa: </w:t>
      </w:r>
      <w:r w:rsidR="00ED6531">
        <w:rPr>
          <w:bCs/>
        </w:rPr>
        <w:t xml:space="preserve"> 400-01/23</w:t>
      </w:r>
      <w:r>
        <w:rPr>
          <w:bCs/>
        </w:rPr>
        <w:t>-01/</w:t>
      </w:r>
      <w:proofErr w:type="spellStart"/>
      <w:r>
        <w:rPr>
          <w:bCs/>
        </w:rPr>
        <w:t>01</w:t>
      </w:r>
      <w:proofErr w:type="spellEnd"/>
    </w:p>
    <w:p w:rsidR="00FF3093" w:rsidRDefault="00AE2023" w:rsidP="00FF3093">
      <w:pPr>
        <w:rPr>
          <w:bCs/>
        </w:rPr>
      </w:pPr>
      <w:proofErr w:type="spellStart"/>
      <w:r>
        <w:rPr>
          <w:bCs/>
        </w:rPr>
        <w:t>Urbroj</w:t>
      </w:r>
      <w:proofErr w:type="spellEnd"/>
      <w:r>
        <w:rPr>
          <w:bCs/>
        </w:rPr>
        <w:t>: 2158-27-02-23-</w:t>
      </w:r>
      <w:r w:rsidR="00CE67FC">
        <w:rPr>
          <w:bCs/>
        </w:rPr>
        <w:t>11</w:t>
      </w:r>
    </w:p>
    <w:p w:rsidR="00FF3093" w:rsidRPr="00404094" w:rsidRDefault="00AE2023" w:rsidP="00FF3093">
      <w:pPr>
        <w:rPr>
          <w:bCs/>
        </w:rPr>
      </w:pPr>
      <w:r>
        <w:rPr>
          <w:bCs/>
        </w:rPr>
        <w:t>Marijanci, 11. travnja</w:t>
      </w:r>
      <w:r w:rsidR="00296A0C">
        <w:rPr>
          <w:bCs/>
        </w:rPr>
        <w:t xml:space="preserve"> 2023</w:t>
      </w:r>
      <w:r w:rsidR="00FF3093">
        <w:rPr>
          <w:bCs/>
        </w:rPr>
        <w:t>.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r>
        <w:t xml:space="preserve"> </w:t>
      </w:r>
    </w:p>
    <w:p w:rsidR="00FF3093" w:rsidRDefault="00FF3093" w:rsidP="00FF3093"/>
    <w:p w:rsidR="00FF3093" w:rsidRPr="00B00FE0" w:rsidRDefault="00FF3093" w:rsidP="00FF3093">
      <w:r w:rsidRPr="00B00FE0">
        <w:t>MB: 02722682</w:t>
      </w:r>
    </w:p>
    <w:p w:rsidR="00FF3093" w:rsidRPr="00B00FE0" w:rsidRDefault="00FF3093" w:rsidP="00FF3093">
      <w:r w:rsidRPr="00B00FE0">
        <w:t>ŠIFRA DJELATNOSTI: 8411</w:t>
      </w:r>
    </w:p>
    <w:p w:rsidR="00262745" w:rsidRDefault="00FF3093" w:rsidP="00FF3093">
      <w:r w:rsidRPr="00B00FE0">
        <w:t xml:space="preserve">RAZDOBLJE: </w:t>
      </w:r>
      <w:r w:rsidR="00AE2023">
        <w:t>2023-3</w:t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</w:p>
    <w:p w:rsidR="00FF3093" w:rsidRPr="00B00FE0" w:rsidRDefault="00FF3093" w:rsidP="00FF3093">
      <w:r w:rsidRPr="00B00FE0">
        <w:t>RAZINA: 22</w:t>
      </w:r>
    </w:p>
    <w:p w:rsidR="00FF3093" w:rsidRPr="00B00FE0" w:rsidRDefault="00FF3093" w:rsidP="00262745">
      <w:pPr>
        <w:jc w:val="both"/>
      </w:pPr>
      <w:r w:rsidRPr="00B00FE0">
        <w:t>RAZDJEL: 0</w:t>
      </w:r>
    </w:p>
    <w:p w:rsidR="00FF3093" w:rsidRPr="00B00FE0" w:rsidRDefault="00FF3093" w:rsidP="00262745">
      <w:pPr>
        <w:jc w:val="both"/>
      </w:pPr>
      <w:r w:rsidRPr="00B00FE0">
        <w:t>RKP: 36119</w:t>
      </w:r>
    </w:p>
    <w:p w:rsidR="00262745" w:rsidRDefault="00262745" w:rsidP="00262745">
      <w:pPr>
        <w:jc w:val="both"/>
      </w:pPr>
      <w:r>
        <w:t>ŠIFRA ŽUPANIJE: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093" w:rsidRDefault="00FF3093" w:rsidP="00262745">
      <w:pPr>
        <w:jc w:val="both"/>
      </w:pPr>
      <w:r w:rsidRPr="00B00FE0">
        <w:t>ŠIFRA OPĆINE: 257</w:t>
      </w:r>
    </w:p>
    <w:p w:rsidR="00DF66CD" w:rsidRDefault="00DF66CD" w:rsidP="00262745">
      <w:pPr>
        <w:jc w:val="both"/>
      </w:pPr>
    </w:p>
    <w:p w:rsidR="00B54B9D" w:rsidRDefault="00B54B9D" w:rsidP="00FF3093"/>
    <w:p w:rsidR="00B54B9D" w:rsidRPr="00B00FE0" w:rsidRDefault="00B54B9D" w:rsidP="00B54B9D">
      <w:pPr>
        <w:jc w:val="center"/>
        <w:rPr>
          <w:b/>
        </w:rPr>
      </w:pPr>
      <w:r>
        <w:rPr>
          <w:b/>
        </w:rPr>
        <w:t>BILJEŠKA UZ FINANCIJSKO IZVJEŠĆE</w:t>
      </w:r>
    </w:p>
    <w:p w:rsidR="00B54B9D" w:rsidRPr="00B00FE0" w:rsidRDefault="00B54B9D" w:rsidP="00B54B9D">
      <w:pPr>
        <w:jc w:val="center"/>
        <w:rPr>
          <w:b/>
        </w:rPr>
      </w:pPr>
      <w:r>
        <w:rPr>
          <w:b/>
        </w:rPr>
        <w:t xml:space="preserve"> ZA IZVJEŠTAJNO RAZDOBLJE 01.01.2023. – 31.03.2023</w:t>
      </w:r>
      <w:r w:rsidRPr="00B00FE0">
        <w:rPr>
          <w:b/>
        </w:rPr>
        <w:t>.</w:t>
      </w:r>
    </w:p>
    <w:p w:rsidR="00B54B9D" w:rsidRDefault="00B54B9D" w:rsidP="00B54B9D">
      <w:pPr>
        <w:jc w:val="center"/>
      </w:pPr>
    </w:p>
    <w:p w:rsidR="00B54B9D" w:rsidRDefault="00B54B9D" w:rsidP="00FF3093"/>
    <w:p w:rsidR="00B54B9D" w:rsidRPr="00B54B9D" w:rsidRDefault="00B54B9D" w:rsidP="00B54B9D">
      <w:pPr>
        <w:suppressAutoHyphens w:val="0"/>
        <w:spacing w:before="100" w:beforeAutospacing="1" w:after="100" w:afterAutospacing="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Financijski izvještaj za 2023. g. Općine Marijanci</w:t>
      </w:r>
      <w:r w:rsidRPr="00B54B9D">
        <w:rPr>
          <w:rFonts w:eastAsia="Times New Roman"/>
          <w:lang w:eastAsia="hr-HR"/>
        </w:rPr>
        <w:t xml:space="preserve"> sastavljen je sukladno odredbama Pravilnika o financijskom izvještavanju u proračunskom računovodstvu („Narodne novine“ broj 37/2022) i Okružnici o sastavljanju i predaji financijskih izvještaja proračuna, proračunskih i izvanproračunskih korisnika državnog proračuna, te proračunskih i izvanproračunskih korisnika proračuna jedinica lokalne i područne (regionalne) samouprave za razdoblj</w:t>
      </w:r>
      <w:r>
        <w:rPr>
          <w:rFonts w:eastAsia="Times New Roman"/>
          <w:lang w:eastAsia="hr-HR"/>
        </w:rPr>
        <w:t>e od 1. siječnja do 31. ožujka 2023. (KLASA: 400-02/2-01/27, URBROJ: 513-05-03-23-1 od 30. ožujka 2023.g.)</w:t>
      </w:r>
    </w:p>
    <w:p w:rsidR="00FF3093" w:rsidRDefault="00FF3093" w:rsidP="00FF3093">
      <w:pPr>
        <w:rPr>
          <w:b/>
        </w:rPr>
      </w:pPr>
    </w:p>
    <w:p w:rsidR="00B54B9D" w:rsidRPr="00B00FE0" w:rsidRDefault="00B54B9D" w:rsidP="00FF3093"/>
    <w:p w:rsidR="00FF3093" w:rsidRPr="00B00FE0" w:rsidRDefault="00FF3093" w:rsidP="00FF3093">
      <w:r w:rsidRPr="00B00FE0">
        <w:t>BILJEŠKE UZ OBRAZAC PR-RAS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1.</w:t>
      </w:r>
    </w:p>
    <w:p w:rsidR="009F7B98" w:rsidRDefault="00FF3093" w:rsidP="00FF3093">
      <w:r>
        <w:t>O</w:t>
      </w:r>
      <w:r w:rsidRPr="00B00FE0">
        <w:t xml:space="preserve">stvareni </w:t>
      </w:r>
      <w:r>
        <w:t xml:space="preserve">su prihodi </w:t>
      </w:r>
      <w:r w:rsidR="00AE2023">
        <w:t>poslovanja u iznosu 271.809,18 eura te su veći</w:t>
      </w:r>
      <w:r w:rsidRPr="00B00FE0">
        <w:t xml:space="preserve"> u odnosu na</w:t>
      </w:r>
      <w:r w:rsidR="00AB6ACD">
        <w:t xml:space="preserve"> isto izvještajno razdoblje</w:t>
      </w:r>
      <w:r w:rsidRPr="00B00FE0">
        <w:t xml:space="preserve"> </w:t>
      </w:r>
      <w:r w:rsidR="00AB6ACD">
        <w:t>prošle</w:t>
      </w:r>
      <w:r>
        <w:t xml:space="preserve"> godi</w:t>
      </w:r>
      <w:r w:rsidR="00912C93">
        <w:t>n</w:t>
      </w:r>
      <w:r w:rsidR="00AB6ACD">
        <w:t>e</w:t>
      </w:r>
      <w:r w:rsidR="00AE2023">
        <w:t xml:space="preserve"> kada su iznosili 216.417,38 eura</w:t>
      </w:r>
      <w:r w:rsidRPr="00B00FE0">
        <w:t>.</w:t>
      </w:r>
      <w:r w:rsidR="009F7B98">
        <w:t xml:space="preserve"> N</w:t>
      </w:r>
      <w:r w:rsidR="00F2174F">
        <w:t xml:space="preserve">ajveće odstupanje u odnosu na </w:t>
      </w:r>
      <w:r w:rsidR="00425FD9">
        <w:t>isto izvještajno razdoblje prošle godine</w:t>
      </w:r>
      <w:r w:rsidR="00F2174F">
        <w:t xml:space="preserve"> bilježimo </w:t>
      </w:r>
      <w:r w:rsidR="00AE2023">
        <w:t>kod prihoda od poreza koji</w:t>
      </w:r>
      <w:r w:rsidR="00F2174F">
        <w:t xml:space="preserve"> su prošle godine u istom izvještajnom</w:t>
      </w:r>
      <w:r w:rsidR="00425FD9">
        <w:t xml:space="preserve"> razdoblju ostvareni u iznosu</w:t>
      </w:r>
      <w:r w:rsidR="00AE2023">
        <w:t xml:space="preserve"> 71.030,97 eura</w:t>
      </w:r>
      <w:r w:rsidR="00F2174F">
        <w:t xml:space="preserve"> dok</w:t>
      </w:r>
      <w:r w:rsidR="00734DC7">
        <w:t xml:space="preserve"> su ove g</w:t>
      </w:r>
      <w:r w:rsidR="00AE2023">
        <w:t xml:space="preserve">odine ostvareni u većem </w:t>
      </w:r>
      <w:r w:rsidR="00D25790">
        <w:t>iznosu, iznosu od 90.178,32</w:t>
      </w:r>
      <w:r w:rsidR="00AB6ACD">
        <w:t xml:space="preserve"> e</w:t>
      </w:r>
      <w:r w:rsidR="00AE2023">
        <w:t>ura</w:t>
      </w:r>
      <w:r w:rsidR="009F7B98">
        <w:t xml:space="preserve">. </w:t>
      </w:r>
      <w:r w:rsidR="00734DC7">
        <w:t>U odnosu na prošlu g</w:t>
      </w:r>
      <w:r w:rsidR="00AB6ACD">
        <w:t xml:space="preserve">odinu ostvareni su veći </w:t>
      </w:r>
      <w:r w:rsidR="00734DC7">
        <w:t>prihodi naknada za k</w:t>
      </w:r>
      <w:r w:rsidR="00BE4F45">
        <w:t>orištenje nefinancijsk</w:t>
      </w:r>
      <w:r w:rsidR="00B850CC">
        <w:t>e imovine kao i šumski doprinos koji isključivo ovisi o Hrvatskim šumama i sječi drva na našem području.</w:t>
      </w:r>
    </w:p>
    <w:p w:rsidR="000463BA" w:rsidRDefault="000463BA" w:rsidP="00FF3093"/>
    <w:p w:rsidR="00495074" w:rsidRDefault="009F7B98" w:rsidP="00FF3093">
      <w:r>
        <w:lastRenderedPageBreak/>
        <w:t>Ostvareni prihodi od prod</w:t>
      </w:r>
      <w:r w:rsidR="00AB6ACD">
        <w:t xml:space="preserve">aje nefinancijske imovine su </w:t>
      </w:r>
      <w:r>
        <w:t xml:space="preserve"> veći u odnosu na prošlu go</w:t>
      </w:r>
      <w:r w:rsidR="00AB6ACD">
        <w:t>dinu kada su iznosili 288,54 eura</w:t>
      </w:r>
      <w:r w:rsidR="007D0B14">
        <w:t xml:space="preserve"> </w:t>
      </w:r>
      <w:r>
        <w:t>dok su ov</w:t>
      </w:r>
      <w:r w:rsidR="00AB6ACD">
        <w:t>e godine ostvareni u iznosu 9.886,46 eura.</w:t>
      </w:r>
    </w:p>
    <w:p w:rsidR="00AB6ACD" w:rsidRDefault="00AB6ACD" w:rsidP="00FF3093"/>
    <w:p w:rsidR="00472689" w:rsidRDefault="00FF3093" w:rsidP="00FF3093">
      <w:r w:rsidRPr="00B00FE0">
        <w:t>Bilješka broj 2.</w:t>
      </w:r>
    </w:p>
    <w:p w:rsidR="00425FD9" w:rsidRDefault="00425FD9" w:rsidP="00FF3093">
      <w:r>
        <w:t xml:space="preserve">Rashodi poslovanja koji su prošle godine u istom izvještajnom razdoblju ostvareni u iznosu od 193.433,88 eura su manji u odnosu na ostvarene istog izvještajnog razdoblja ove godine ostvareni u iznosu 219.886,92 eura. Razlika se odnosi na povećanje troškova za zaposlene i financijskih rashoda, povećanje naknada za građanima i kućanstvima (sufinanciranje prehrane učenika, </w:t>
      </w:r>
      <w:r w:rsidR="00BB4604">
        <w:t xml:space="preserve">pomoći za podmirenje troškova </w:t>
      </w:r>
      <w:r>
        <w:t xml:space="preserve">smještaj </w:t>
      </w:r>
      <w:r w:rsidR="00BB4604">
        <w:t xml:space="preserve">učenika </w:t>
      </w:r>
      <w:r>
        <w:t xml:space="preserve">u učeničkim domovima, </w:t>
      </w:r>
      <w:r w:rsidR="00BB4604">
        <w:t>sufinanciranje dodatnog obrazovnog materijala, darovi umirovljenicima,…)</w:t>
      </w:r>
    </w:p>
    <w:p w:rsidR="000463BA" w:rsidRDefault="00425FD9" w:rsidP="00FF3093">
      <w:r>
        <w:t xml:space="preserve"> </w:t>
      </w:r>
    </w:p>
    <w:p w:rsidR="00FF3093" w:rsidRPr="00B00FE0" w:rsidRDefault="003E08DC" w:rsidP="00FF3093">
      <w:r>
        <w:t>Rashodi za na</w:t>
      </w:r>
      <w:r w:rsidR="000E0794">
        <w:t>bavu nefinancijske imovine manji</w:t>
      </w:r>
      <w:r>
        <w:t xml:space="preserve"> su u odnosu na prošlu godinu kada se investiralo u izgradnju dječjeg vrtić</w:t>
      </w:r>
      <w:r w:rsidR="000E0794">
        <w:t>a i društvenog doma, u istom izvještajnom razdoblju ove godine ostvareni su rashodi za opremanje društvenog doma.</w:t>
      </w:r>
    </w:p>
    <w:p w:rsidR="00FF3093" w:rsidRPr="00B00FE0" w:rsidRDefault="00FF3093" w:rsidP="00FF3093"/>
    <w:p w:rsidR="00FF3093" w:rsidRPr="00B00FE0" w:rsidRDefault="00091B52" w:rsidP="00FF3093">
      <w:r>
        <w:t>Bilješka broj 3</w:t>
      </w:r>
      <w:r w:rsidR="00FF3093" w:rsidRPr="00B00FE0">
        <w:t xml:space="preserve">. </w:t>
      </w:r>
    </w:p>
    <w:p w:rsidR="00FF3093" w:rsidRPr="00B00FE0" w:rsidRDefault="00A30DDE" w:rsidP="00FF3093">
      <w:r>
        <w:t>Primici</w:t>
      </w:r>
      <w:r w:rsidR="00FF3093" w:rsidRPr="00B00FE0">
        <w:t xml:space="preserve"> od financijske imovine i zaduživanja </w:t>
      </w:r>
      <w:r w:rsidR="00A80544">
        <w:t>su ostvareni u iznosu 57.033,41</w:t>
      </w:r>
      <w:r w:rsidR="000E0794">
        <w:t xml:space="preserve"> eur</w:t>
      </w:r>
      <w:r w:rsidR="009E0864">
        <w:t>a</w:t>
      </w:r>
      <w:r w:rsidR="000E0794">
        <w:t xml:space="preserve"> u svrhu plaćanja tekućih obveza, odnosno održavanja tekuće likvidnosti</w:t>
      </w:r>
      <w:r w:rsidR="00FF3093">
        <w:t>.</w:t>
      </w:r>
    </w:p>
    <w:p w:rsidR="00FF3093" w:rsidRPr="00B00FE0" w:rsidRDefault="00FF3093" w:rsidP="00FF3093"/>
    <w:p w:rsidR="00FF3093" w:rsidRPr="00B00FE0" w:rsidRDefault="00091B52" w:rsidP="00FF3093">
      <w:r>
        <w:t>Bilješka broj 4</w:t>
      </w:r>
      <w:r w:rsidR="00FF3093" w:rsidRPr="00B00FE0">
        <w:t xml:space="preserve">. </w:t>
      </w:r>
    </w:p>
    <w:p w:rsidR="00FF3093" w:rsidRPr="00B00FE0" w:rsidRDefault="004705F7" w:rsidP="00FF3093">
      <w:r>
        <w:t>Na šifri Y006</w:t>
      </w:r>
      <w:r w:rsidR="00091B52">
        <w:t xml:space="preserve"> ostvaren je manjak</w:t>
      </w:r>
      <w:r w:rsidR="00FF3093">
        <w:t xml:space="preserve"> prihoda i p</w:t>
      </w:r>
      <w:r w:rsidR="000912B7">
        <w:t xml:space="preserve">rimitaka </w:t>
      </w:r>
      <w:r w:rsidR="00091B52">
        <w:t xml:space="preserve">u iznosu </w:t>
      </w:r>
      <w:r w:rsidR="00A80544">
        <w:t>19.217,95</w:t>
      </w:r>
      <w:r w:rsidR="009E0864">
        <w:t xml:space="preserve"> eura </w:t>
      </w:r>
      <w:r w:rsidR="00FF3093" w:rsidRPr="00B00FE0">
        <w:t xml:space="preserve">dok je u istom izvještajnom razdoblju </w:t>
      </w:r>
      <w:r w:rsidR="00FF3093">
        <w:t>prethodne godine ostvaren v</w:t>
      </w:r>
      <w:r w:rsidR="00A30DDE">
        <w:t>i</w:t>
      </w:r>
      <w:r w:rsidR="000912B7">
        <w:t>šak prih</w:t>
      </w:r>
      <w:r w:rsidR="00091B52">
        <w:t>oda i primitaka</w:t>
      </w:r>
      <w:r w:rsidR="009E0864">
        <w:t>.</w:t>
      </w:r>
    </w:p>
    <w:p w:rsidR="00FF3093" w:rsidRPr="00B00FE0" w:rsidRDefault="00FF3093" w:rsidP="00FF3093"/>
    <w:p w:rsidR="00FF3093" w:rsidRPr="00B00FE0" w:rsidRDefault="00FF3093" w:rsidP="00FF3093">
      <w:r w:rsidRPr="00B00FE0">
        <w:t>BILJEŠKE UZ OBRAZAC OBAVEZE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7.</w:t>
      </w:r>
    </w:p>
    <w:p w:rsidR="00FF3093" w:rsidRPr="00B00FE0" w:rsidRDefault="00FF3093" w:rsidP="00FF3093">
      <w:r>
        <w:t>Stanje obveza 1.</w:t>
      </w:r>
      <w:r w:rsidR="004761B9">
        <w:t xml:space="preserve"> siječnja bilo je </w:t>
      </w:r>
      <w:r w:rsidR="009E0864">
        <w:t>710.013,01 eura</w:t>
      </w:r>
      <w:r>
        <w:t xml:space="preserve"> dok one na kraju izvještajno</w:t>
      </w:r>
      <w:r w:rsidR="0013732F">
        <w:t xml:space="preserve">g razdoblja iznose </w:t>
      </w:r>
      <w:r w:rsidR="00A80544">
        <w:t>680.640,04</w:t>
      </w:r>
      <w:r w:rsidR="009E0864">
        <w:t xml:space="preserve"> eura</w:t>
      </w:r>
      <w:r w:rsidRPr="00B00FE0">
        <w:t xml:space="preserve"> što je izuzetno dobar pokazatelj.</w:t>
      </w:r>
      <w:r w:rsidR="0013732F">
        <w:t xml:space="preserve"> Iznos od </w:t>
      </w:r>
      <w:r w:rsidR="00A80544">
        <w:t>657.472,90</w:t>
      </w:r>
      <w:r w:rsidR="009E0864">
        <w:t xml:space="preserve"> eura</w:t>
      </w:r>
      <w:r w:rsidR="004761B9">
        <w:t xml:space="preserve"> se odnosi na nedospjele obveze za financijsku i</w:t>
      </w:r>
      <w:r w:rsidR="002F203D">
        <w:t>movinu.</w:t>
      </w:r>
      <w:r w:rsidR="00433F7D">
        <w:t xml:space="preserve"> Iznos </w:t>
      </w:r>
      <w:r w:rsidR="00D25790">
        <w:t xml:space="preserve">obveze </w:t>
      </w:r>
      <w:r w:rsidR="00433F7D">
        <w:t xml:space="preserve">od 21.620,89 eura se odnosi na </w:t>
      </w:r>
      <w:r w:rsidR="00042A7E">
        <w:t xml:space="preserve">troškove provedbe projekta nabave spremnika </w:t>
      </w:r>
      <w:r w:rsidR="00D25790">
        <w:t>za prikupljanje otpada (papira) te će se ista podmiriti.</w:t>
      </w:r>
    </w:p>
    <w:p w:rsidR="00FF3093" w:rsidRPr="00B00FE0" w:rsidRDefault="00FF3093" w:rsidP="00FF3093"/>
    <w:p w:rsidR="00FF3093" w:rsidRDefault="00FF3093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Default="00DF66CD" w:rsidP="00FF3093"/>
    <w:p w:rsidR="00DF66CD" w:rsidRPr="00B00FE0" w:rsidRDefault="00DF66CD" w:rsidP="00FF3093"/>
    <w:p w:rsidR="00FF3093" w:rsidRPr="00B00FE0" w:rsidRDefault="00FF3093" w:rsidP="00FF3093"/>
    <w:p w:rsidR="00FF3093" w:rsidRDefault="00FF3093" w:rsidP="00DF66CD">
      <w:r w:rsidRPr="00B00FE0">
        <w:lastRenderedPageBreak/>
        <w:t>PREGLED STANJA I ROKOVA DOSPIJEĆA DUGOROČNIH I KRATKOROČNIH ZAJMOVA, ROBNIH KREDITA I FINANCIJSKIH ZAJMOVA TE KAMATA NA ZAJMOVE</w:t>
      </w:r>
    </w:p>
    <w:p w:rsidR="00FF3093" w:rsidRDefault="00FF3093" w:rsidP="00FF3093">
      <w:pPr>
        <w:pStyle w:val="StandardWeb"/>
        <w:spacing w:after="0" w:line="240" w:lineRule="auto"/>
      </w:pPr>
      <w:r w:rsidRPr="00B00FE0">
        <w:t>Tablica primljenih robnih kredita i financijskih zajmova</w:t>
      </w:r>
    </w:p>
    <w:p w:rsidR="00FF3093" w:rsidRPr="00B00FE0" w:rsidRDefault="00FF3093" w:rsidP="00FF3093">
      <w:pPr>
        <w:pStyle w:val="StandardWeb"/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NAZIV PRAVNE OSOBE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 VRSTE KREDITA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1.1.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OTPLATA</w:t>
            </w:r>
          </w:p>
        </w:tc>
        <w:tc>
          <w:tcPr>
            <w:tcW w:w="1858" w:type="dxa"/>
          </w:tcPr>
          <w:p w:rsidR="00FF3093" w:rsidRPr="00B00FE0" w:rsidRDefault="0015366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31.03</w:t>
            </w:r>
            <w:r w:rsidR="00FF3093">
              <w:rPr>
                <w:lang w:val="en-US"/>
              </w:rPr>
              <w:t>.2022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</w:p>
        </w:tc>
        <w:tc>
          <w:tcPr>
            <w:tcW w:w="1858" w:type="dxa"/>
          </w:tcPr>
          <w:p w:rsidR="00FF3093" w:rsidRPr="00B00FE0" w:rsidRDefault="00815723" w:rsidP="00153663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452.197,68</w:t>
            </w:r>
          </w:p>
        </w:tc>
        <w:tc>
          <w:tcPr>
            <w:tcW w:w="1858" w:type="dxa"/>
          </w:tcPr>
          <w:p w:rsidR="00FF3093" w:rsidRPr="00B00FE0" w:rsidRDefault="00815723" w:rsidP="00153663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21.279,88</w:t>
            </w:r>
          </w:p>
        </w:tc>
        <w:tc>
          <w:tcPr>
            <w:tcW w:w="1858" w:type="dxa"/>
          </w:tcPr>
          <w:p w:rsidR="00FF3093" w:rsidRPr="00B00FE0" w:rsidRDefault="00815723" w:rsidP="00E26CDE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430.917,80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</w:p>
        </w:tc>
        <w:tc>
          <w:tcPr>
            <w:tcW w:w="1858" w:type="dxa"/>
          </w:tcPr>
          <w:p w:rsidR="00FF3093" w:rsidRPr="00B00FE0" w:rsidRDefault="00815723" w:rsidP="00153663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194.636,01</w:t>
            </w:r>
          </w:p>
        </w:tc>
        <w:tc>
          <w:tcPr>
            <w:tcW w:w="1858" w:type="dxa"/>
          </w:tcPr>
          <w:p w:rsidR="00FF3093" w:rsidRPr="00B00FE0" w:rsidRDefault="00815723" w:rsidP="00153663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25.114,32</w:t>
            </w:r>
          </w:p>
        </w:tc>
        <w:tc>
          <w:tcPr>
            <w:tcW w:w="1858" w:type="dxa"/>
          </w:tcPr>
          <w:p w:rsidR="00FF3093" w:rsidRPr="00B00FE0" w:rsidRDefault="00815723" w:rsidP="00E26CDE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169521,69</w:t>
            </w:r>
          </w:p>
        </w:tc>
      </w:tr>
      <w:tr w:rsidR="00FF3093" w:rsidRPr="00B00FE0" w:rsidTr="005F645F">
        <w:tc>
          <w:tcPr>
            <w:tcW w:w="1857" w:type="dxa"/>
          </w:tcPr>
          <w:p w:rsidR="00153663" w:rsidRPr="00B00FE0" w:rsidRDefault="0015366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1857" w:type="dxa"/>
          </w:tcPr>
          <w:p w:rsidR="00FF3093" w:rsidRPr="00B00FE0" w:rsidRDefault="0015366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Kratkoročni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858" w:type="dxa"/>
          </w:tcPr>
          <w:p w:rsidR="00FF3093" w:rsidRPr="00B00FE0" w:rsidRDefault="00153663" w:rsidP="00153663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153663" w:rsidP="00153663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153663" w:rsidP="00E26CDE">
            <w:pPr>
              <w:pStyle w:val="Standard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57.033,41</w:t>
            </w:r>
          </w:p>
        </w:tc>
      </w:tr>
      <w:tr w:rsidR="00FF3093" w:rsidRPr="00B00FE0" w:rsidTr="00384CF5">
        <w:trPr>
          <w:trHeight w:val="488"/>
        </w:trPr>
        <w:tc>
          <w:tcPr>
            <w:tcW w:w="1857" w:type="dxa"/>
          </w:tcPr>
          <w:p w:rsidR="00FF3093" w:rsidRPr="00384CF5" w:rsidRDefault="00FF3093" w:rsidP="005F645F">
            <w:pPr>
              <w:pStyle w:val="StandardWeb"/>
              <w:spacing w:after="0" w:line="240" w:lineRule="auto"/>
              <w:rPr>
                <w:b/>
                <w:lang w:val="en-US"/>
              </w:rPr>
            </w:pPr>
            <w:r w:rsidRPr="00384CF5">
              <w:rPr>
                <w:b/>
                <w:lang w:val="en-US"/>
              </w:rPr>
              <w:t>UKUPNO</w:t>
            </w:r>
          </w:p>
        </w:tc>
        <w:tc>
          <w:tcPr>
            <w:tcW w:w="1857" w:type="dxa"/>
          </w:tcPr>
          <w:p w:rsidR="00FF3093" w:rsidRPr="00384CF5" w:rsidRDefault="00FF3093" w:rsidP="005F645F">
            <w:pPr>
              <w:pStyle w:val="StandardWeb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858" w:type="dxa"/>
          </w:tcPr>
          <w:p w:rsidR="00FF3093" w:rsidRPr="00384CF5" w:rsidRDefault="00301A30" w:rsidP="00153663">
            <w:pPr>
              <w:pStyle w:val="StandardWeb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646.833,69</w:t>
            </w:r>
          </w:p>
        </w:tc>
        <w:tc>
          <w:tcPr>
            <w:tcW w:w="1858" w:type="dxa"/>
          </w:tcPr>
          <w:p w:rsidR="00FF3093" w:rsidRPr="00384CF5" w:rsidRDefault="00301A30" w:rsidP="00153663">
            <w:pPr>
              <w:pStyle w:val="StandardWeb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46.394,20</w:t>
            </w:r>
          </w:p>
        </w:tc>
        <w:tc>
          <w:tcPr>
            <w:tcW w:w="1858" w:type="dxa"/>
          </w:tcPr>
          <w:p w:rsidR="00FF3093" w:rsidRPr="00384CF5" w:rsidRDefault="00301A30" w:rsidP="00384CF5">
            <w:pPr>
              <w:pStyle w:val="StandardWeb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657.472,90</w:t>
            </w:r>
          </w:p>
        </w:tc>
      </w:tr>
    </w:tbl>
    <w:p w:rsidR="00FF3093" w:rsidRDefault="00FF3093" w:rsidP="00FF3093">
      <w:pPr>
        <w:pStyle w:val="StandardWeb"/>
        <w:spacing w:after="0" w:line="240" w:lineRule="auto"/>
        <w:rPr>
          <w:lang w:val="en-US"/>
        </w:rPr>
      </w:pPr>
      <w:bookmarkStart w:id="0" w:name="_GoBack"/>
      <w:bookmarkEnd w:id="0"/>
    </w:p>
    <w:p w:rsidR="00FF3093" w:rsidRDefault="00FF3093" w:rsidP="00FF3093">
      <w:pPr>
        <w:pStyle w:val="Standard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Tablica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dospjelih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kamata</w:t>
      </w:r>
      <w:proofErr w:type="spellEnd"/>
      <w:r w:rsidRPr="00B00FE0">
        <w:rPr>
          <w:lang w:val="en-US"/>
        </w:rPr>
        <w:t xml:space="preserve"> </w:t>
      </w:r>
      <w:proofErr w:type="spellStart"/>
      <w:proofErr w:type="gramStart"/>
      <w:r w:rsidRPr="00B00FE0">
        <w:rPr>
          <w:lang w:val="en-US"/>
        </w:rPr>
        <w:t>na</w:t>
      </w:r>
      <w:proofErr w:type="spellEnd"/>
      <w:proofErr w:type="gram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zajmove</w:t>
      </w:r>
      <w:proofErr w:type="spellEnd"/>
    </w:p>
    <w:p w:rsidR="00FF3093" w:rsidRPr="00B00FE0" w:rsidRDefault="00FF3093" w:rsidP="00FF3093">
      <w:pPr>
        <w:pStyle w:val="StandardWeb"/>
        <w:spacing w:after="0" w:line="240" w:lineRule="auto"/>
        <w:rPr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3"/>
        <w:gridCol w:w="1764"/>
        <w:gridCol w:w="1963"/>
        <w:gridCol w:w="1963"/>
        <w:gridCol w:w="1765"/>
      </w:tblGrid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01.01.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DOSPJELE U IZVJEŠTAJNOM RAZDOBLJU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FF3093" w:rsidRPr="00B00FE0" w:rsidRDefault="00301A30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31.03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5C547A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3.505,94</w:t>
            </w:r>
          </w:p>
        </w:tc>
        <w:tc>
          <w:tcPr>
            <w:tcW w:w="1858" w:type="dxa"/>
          </w:tcPr>
          <w:p w:rsidR="00FF3093" w:rsidRPr="00B00FE0" w:rsidRDefault="005C547A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3.505,94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1. PO TUZEMNIM ZAJMOVIMA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UKUPNO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5C547A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3.505,94</w:t>
            </w:r>
          </w:p>
        </w:tc>
        <w:tc>
          <w:tcPr>
            <w:tcW w:w="1858" w:type="dxa"/>
          </w:tcPr>
          <w:p w:rsidR="00FF3093" w:rsidRPr="00B00FE0" w:rsidRDefault="005C547A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3.505,94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Standard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</w:tbl>
    <w:p w:rsidR="00FF3093" w:rsidRPr="00B00FE0" w:rsidRDefault="00301A30" w:rsidP="00FF3093">
      <w:pPr>
        <w:pStyle w:val="StandardWeb"/>
        <w:spacing w:after="0" w:line="240" w:lineRule="auto"/>
        <w:rPr>
          <w:lang w:val="en-US"/>
        </w:rPr>
      </w:pPr>
      <w:proofErr w:type="gramStart"/>
      <w:r>
        <w:rPr>
          <w:lang w:val="en-US"/>
        </w:rPr>
        <w:t>Marijanci, 11.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travnja</w:t>
      </w:r>
      <w:proofErr w:type="spellEnd"/>
      <w:proofErr w:type="gramEnd"/>
      <w:r>
        <w:rPr>
          <w:lang w:val="en-US"/>
        </w:rPr>
        <w:t xml:space="preserve"> 2023</w:t>
      </w:r>
      <w:r w:rsidR="00FF3093" w:rsidRPr="00B00FE0">
        <w:rPr>
          <w:lang w:val="en-US"/>
        </w:rPr>
        <w:t xml:space="preserve">. </w:t>
      </w:r>
      <w:proofErr w:type="spellStart"/>
      <w:proofErr w:type="gramStart"/>
      <w:r w:rsidR="00FF3093" w:rsidRPr="00B00FE0">
        <w:rPr>
          <w:lang w:val="en-US"/>
        </w:rPr>
        <w:t>godine</w:t>
      </w:r>
      <w:proofErr w:type="spellEnd"/>
      <w:proofErr w:type="gramEnd"/>
      <w:r w:rsidR="00FF3093" w:rsidRPr="00B00FE0">
        <w:rPr>
          <w:lang w:val="en-US"/>
        </w:rPr>
        <w:t>.</w:t>
      </w:r>
    </w:p>
    <w:p w:rsidR="00FF3093" w:rsidRPr="00B00FE0" w:rsidRDefault="00FF3093" w:rsidP="00FF3093">
      <w:pPr>
        <w:pStyle w:val="Standard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Osoba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kontaktiranje</w:t>
      </w:r>
      <w:proofErr w:type="spellEnd"/>
      <w:r w:rsidRPr="00B00FE0">
        <w:rPr>
          <w:lang w:val="en-US"/>
        </w:rPr>
        <w:t xml:space="preserve">: </w:t>
      </w:r>
      <w:proofErr w:type="spellStart"/>
      <w:r w:rsidRPr="00B00FE0">
        <w:rPr>
          <w:lang w:val="en-US"/>
        </w:rPr>
        <w:t>Dijana</w:t>
      </w:r>
      <w:proofErr w:type="spellEnd"/>
      <w:r w:rsidRPr="00B00FE0">
        <w:rPr>
          <w:lang w:val="en-US"/>
        </w:rPr>
        <w:t xml:space="preserve"> Alšić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="00C054E9">
        <w:rPr>
          <w:lang w:val="en-US"/>
        </w:rPr>
        <w:t xml:space="preserve"> </w:t>
      </w:r>
      <w:r w:rsidRPr="00B00FE0">
        <w:rPr>
          <w:lang w:val="en-US"/>
        </w:rPr>
        <w:tab/>
      </w:r>
    </w:p>
    <w:p w:rsidR="00FF3093" w:rsidRDefault="00FF3093" w:rsidP="00FF3093">
      <w:pPr>
        <w:pStyle w:val="Standard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Telefon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</w:t>
      </w:r>
      <w:proofErr w:type="spellEnd"/>
      <w:r w:rsidRPr="00B00FE0">
        <w:rPr>
          <w:lang w:val="en-US"/>
        </w:rPr>
        <w:t>: 031/643-100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>
        <w:rPr>
          <w:lang w:val="en-US"/>
        </w:rPr>
        <w:t>Zakoniti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predstavnik</w:t>
      </w:r>
      <w:proofErr w:type="spellEnd"/>
    </w:p>
    <w:p w:rsidR="00FF3093" w:rsidRPr="00B00FE0" w:rsidRDefault="00FF3093" w:rsidP="00FF3093">
      <w:pPr>
        <w:pStyle w:val="StandardWeb"/>
        <w:spacing w:after="0" w:line="240" w:lineRule="auto"/>
        <w:rPr>
          <w:lang w:val="en-US"/>
        </w:rPr>
      </w:pPr>
    </w:p>
    <w:p w:rsidR="00FF3093" w:rsidRPr="00B00FE0" w:rsidRDefault="00FF3093" w:rsidP="00FF3093">
      <w:pPr>
        <w:pStyle w:val="Standard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(</w:t>
      </w:r>
      <w:proofErr w:type="spellStart"/>
      <w:proofErr w:type="gramStart"/>
      <w:r w:rsidRPr="00B00FE0">
        <w:rPr>
          <w:lang w:val="en-US"/>
        </w:rPr>
        <w:t>potpis</w:t>
      </w:r>
      <w:proofErr w:type="spellEnd"/>
      <w:proofErr w:type="gramEnd"/>
      <w:r w:rsidRPr="00B00FE0">
        <w:rPr>
          <w:lang w:val="en-US"/>
        </w:rPr>
        <w:t>)</w:t>
      </w:r>
    </w:p>
    <w:p w:rsidR="00FF3093" w:rsidRPr="00B00FE0" w:rsidRDefault="00FF3093" w:rsidP="00FF3093">
      <w:pPr>
        <w:pStyle w:val="Standard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____________________________</w:t>
      </w:r>
    </w:p>
    <w:p w:rsidR="00166D9E" w:rsidRPr="00C054E9" w:rsidRDefault="00FF3093" w:rsidP="00C054E9">
      <w:pPr>
        <w:pStyle w:val="Standard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 w:rsidRPr="00B00FE0">
        <w:rPr>
          <w:lang w:val="en-US"/>
        </w:rPr>
        <w:t>Zakoniti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predstavnik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Darko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Dorkić</w:t>
      </w:r>
      <w:proofErr w:type="spellEnd"/>
    </w:p>
    <w:sectPr w:rsidR="00166D9E" w:rsidRPr="00C0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4"/>
    <w:rsid w:val="00042A7E"/>
    <w:rsid w:val="000463BA"/>
    <w:rsid w:val="00084090"/>
    <w:rsid w:val="000912B7"/>
    <w:rsid w:val="00091B52"/>
    <w:rsid w:val="000C0A28"/>
    <w:rsid w:val="000E0794"/>
    <w:rsid w:val="000E2CEF"/>
    <w:rsid w:val="000E472A"/>
    <w:rsid w:val="0013732F"/>
    <w:rsid w:val="00153663"/>
    <w:rsid w:val="00166D9E"/>
    <w:rsid w:val="0022050A"/>
    <w:rsid w:val="00255435"/>
    <w:rsid w:val="00262745"/>
    <w:rsid w:val="00296A0C"/>
    <w:rsid w:val="002F203D"/>
    <w:rsid w:val="002F38EB"/>
    <w:rsid w:val="00301A30"/>
    <w:rsid w:val="00384CF5"/>
    <w:rsid w:val="003D49C4"/>
    <w:rsid w:val="003E08DC"/>
    <w:rsid w:val="003E0D41"/>
    <w:rsid w:val="004232F1"/>
    <w:rsid w:val="00425FD9"/>
    <w:rsid w:val="00433F7D"/>
    <w:rsid w:val="004705F7"/>
    <w:rsid w:val="00472689"/>
    <w:rsid w:val="00473744"/>
    <w:rsid w:val="004761B9"/>
    <w:rsid w:val="004813AB"/>
    <w:rsid w:val="00495074"/>
    <w:rsid w:val="004F43F3"/>
    <w:rsid w:val="005C0A9D"/>
    <w:rsid w:val="005C547A"/>
    <w:rsid w:val="005F1146"/>
    <w:rsid w:val="00673668"/>
    <w:rsid w:val="006E2AE9"/>
    <w:rsid w:val="006F4D94"/>
    <w:rsid w:val="00715CF5"/>
    <w:rsid w:val="00734DC7"/>
    <w:rsid w:val="007D0B14"/>
    <w:rsid w:val="007E0616"/>
    <w:rsid w:val="00815723"/>
    <w:rsid w:val="008328A5"/>
    <w:rsid w:val="008523A4"/>
    <w:rsid w:val="008B3EF1"/>
    <w:rsid w:val="008D553F"/>
    <w:rsid w:val="008E630A"/>
    <w:rsid w:val="00912C93"/>
    <w:rsid w:val="00912E86"/>
    <w:rsid w:val="00984CCB"/>
    <w:rsid w:val="00993518"/>
    <w:rsid w:val="009E0864"/>
    <w:rsid w:val="009F7B98"/>
    <w:rsid w:val="00A30DDE"/>
    <w:rsid w:val="00A62170"/>
    <w:rsid w:val="00A65FCA"/>
    <w:rsid w:val="00A764D7"/>
    <w:rsid w:val="00A80544"/>
    <w:rsid w:val="00A84CB8"/>
    <w:rsid w:val="00AB6ACD"/>
    <w:rsid w:val="00AE2023"/>
    <w:rsid w:val="00B204C4"/>
    <w:rsid w:val="00B25864"/>
    <w:rsid w:val="00B3761A"/>
    <w:rsid w:val="00B54B9D"/>
    <w:rsid w:val="00B61B1F"/>
    <w:rsid w:val="00B850CC"/>
    <w:rsid w:val="00BB4604"/>
    <w:rsid w:val="00BC7E64"/>
    <w:rsid w:val="00BE4F45"/>
    <w:rsid w:val="00BE6F33"/>
    <w:rsid w:val="00BF29D1"/>
    <w:rsid w:val="00C054E9"/>
    <w:rsid w:val="00C15DB7"/>
    <w:rsid w:val="00C2248B"/>
    <w:rsid w:val="00CE31B3"/>
    <w:rsid w:val="00CE67FC"/>
    <w:rsid w:val="00D21D90"/>
    <w:rsid w:val="00D25790"/>
    <w:rsid w:val="00D344B5"/>
    <w:rsid w:val="00D53775"/>
    <w:rsid w:val="00DA7D7A"/>
    <w:rsid w:val="00DB0CAA"/>
    <w:rsid w:val="00DF66CD"/>
    <w:rsid w:val="00E26CDE"/>
    <w:rsid w:val="00E528A0"/>
    <w:rsid w:val="00EA500D"/>
    <w:rsid w:val="00ED4045"/>
    <w:rsid w:val="00ED6091"/>
    <w:rsid w:val="00ED6531"/>
    <w:rsid w:val="00F2174F"/>
    <w:rsid w:val="00F577E7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cp:lastPrinted>2023-02-14T10:44:00Z</cp:lastPrinted>
  <dcterms:created xsi:type="dcterms:W3CDTF">2023-04-11T06:59:00Z</dcterms:created>
  <dcterms:modified xsi:type="dcterms:W3CDTF">2023-04-11T10:35:00Z</dcterms:modified>
</cp:coreProperties>
</file>